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Ind w:w="-3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21"/>
      </w:tblGrid>
      <w:tr w:rsidR="0095001A" w:rsidRPr="008A321E">
        <w:trPr>
          <w:trHeight w:val="2875"/>
        </w:trPr>
        <w:tc>
          <w:tcPr>
            <w:tcW w:w="9221" w:type="dxa"/>
          </w:tcPr>
          <w:tbl>
            <w:tblPr>
              <w:tblW w:w="910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V w:val="single" w:sz="12" w:space="0" w:color="808080"/>
              </w:tblBorders>
              <w:tblLayout w:type="fixed"/>
              <w:tblLook w:val="01E0"/>
            </w:tblPr>
            <w:tblGrid>
              <w:gridCol w:w="1877"/>
              <w:gridCol w:w="7229"/>
            </w:tblGrid>
            <w:tr w:rsidR="0095001A" w:rsidRPr="008A321E">
              <w:trPr>
                <w:cantSplit/>
                <w:trHeight w:val="152"/>
              </w:trPr>
              <w:tc>
                <w:tcPr>
                  <w:tcW w:w="1877" w:type="dxa"/>
                  <w:vMerge w:val="restart"/>
                  <w:vAlign w:val="center"/>
                </w:tcPr>
                <w:p w:rsidR="0095001A" w:rsidRPr="008A321E" w:rsidRDefault="005D7941" w:rsidP="0095001A">
                  <w:pPr>
                    <w:tabs>
                      <w:tab w:val="left" w:pos="2985"/>
                      <w:tab w:val="center" w:pos="4243"/>
                      <w:tab w:val="left" w:pos="5549"/>
                    </w:tabs>
                    <w:wordWrap/>
                    <w:spacing w:line="400" w:lineRule="atLeast"/>
                    <w:rPr>
                      <w:rFonts w:ascii="Times New Roman"/>
                      <w:b/>
                      <w:w w:val="9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0280" cy="643890"/>
                        <wp:effectExtent l="19050" t="0" r="1270" b="0"/>
                        <wp:docPr id="1" name="그림 1" descr="SYUK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YUKLogo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29" w:type="dxa"/>
                  <w:shd w:val="clear" w:color="auto" w:fill="003399"/>
                  <w:vAlign w:val="center"/>
                </w:tcPr>
                <w:p w:rsidR="0095001A" w:rsidRPr="008A321E" w:rsidRDefault="0095001A" w:rsidP="0095001A">
                  <w:pPr>
                    <w:tabs>
                      <w:tab w:val="left" w:pos="2985"/>
                      <w:tab w:val="center" w:pos="4243"/>
                      <w:tab w:val="left" w:pos="5549"/>
                    </w:tabs>
                    <w:wordWrap/>
                    <w:spacing w:line="400" w:lineRule="atLeast"/>
                    <w:jc w:val="center"/>
                    <w:rPr>
                      <w:rFonts w:ascii="Times New Roman"/>
                      <w:b/>
                      <w:sz w:val="36"/>
                      <w:szCs w:val="36"/>
                    </w:rPr>
                  </w:pPr>
                  <w:r w:rsidRPr="008A321E">
                    <w:rPr>
                      <w:rFonts w:ascii="Times New Roman"/>
                      <w:b/>
                      <w:sz w:val="36"/>
                      <w:szCs w:val="36"/>
                    </w:rPr>
                    <w:t>Press Release</w:t>
                  </w:r>
                </w:p>
              </w:tc>
            </w:tr>
            <w:tr w:rsidR="0095001A" w:rsidRPr="008A321E">
              <w:trPr>
                <w:cantSplit/>
                <w:trHeight w:val="500"/>
              </w:trPr>
              <w:tc>
                <w:tcPr>
                  <w:tcW w:w="1877" w:type="dxa"/>
                  <w:vMerge/>
                  <w:vAlign w:val="center"/>
                </w:tcPr>
                <w:p w:rsidR="0095001A" w:rsidRPr="008A321E" w:rsidRDefault="0095001A" w:rsidP="0095001A">
                  <w:pPr>
                    <w:wordWrap/>
                    <w:spacing w:line="400" w:lineRule="atLeast"/>
                    <w:jc w:val="center"/>
                    <w:rPr>
                      <w:rFonts w:ascii="Times New Roman"/>
                      <w:w w:val="90"/>
                      <w:sz w:val="22"/>
                      <w:szCs w:val="22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95001A" w:rsidRPr="008A321E" w:rsidRDefault="007B4C68" w:rsidP="00677463">
                  <w:pPr>
                    <w:wordWrap/>
                    <w:spacing w:line="400" w:lineRule="atLeast"/>
                    <w:jc w:val="center"/>
                    <w:rPr>
                      <w:rFonts w:ascii="Times New Roman"/>
                      <w:w w:val="90"/>
                      <w:sz w:val="36"/>
                      <w:szCs w:val="36"/>
                    </w:rPr>
                  </w:pPr>
                  <w:r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 xml:space="preserve">Feb. </w:t>
                  </w:r>
                  <w:r w:rsidR="0095492B"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2</w:t>
                  </w:r>
                  <w:r w:rsidR="00BA6546"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6</w:t>
                  </w:r>
                  <w:r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/>
                      <w:w w:val="90"/>
                      <w:sz w:val="36"/>
                      <w:szCs w:val="36"/>
                    </w:rPr>
                    <w:t>, 201</w:t>
                  </w:r>
                  <w:r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3</w:t>
                  </w:r>
                  <w:r w:rsidRPr="008A321E">
                    <w:rPr>
                      <w:rFonts w:ascii="Times New Roman"/>
                      <w:w w:val="9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(</w:t>
                  </w:r>
                  <w:r w:rsidR="00BA6546"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Tues</w:t>
                  </w:r>
                  <w:r>
                    <w:rPr>
                      <w:rFonts w:ascii="Times New Roman" w:hint="eastAsia"/>
                      <w:w w:val="90"/>
                      <w:sz w:val="36"/>
                      <w:szCs w:val="36"/>
                    </w:rPr>
                    <w:t>day</w:t>
                  </w:r>
                  <w:r w:rsidRPr="008A321E">
                    <w:rPr>
                      <w:rFonts w:ascii="Times New Roman"/>
                      <w:w w:val="90"/>
                      <w:sz w:val="36"/>
                      <w:szCs w:val="36"/>
                    </w:rPr>
                    <w:t>)</w:t>
                  </w:r>
                </w:p>
              </w:tc>
            </w:tr>
          </w:tbl>
          <w:p w:rsidR="0095001A" w:rsidRPr="008A321E" w:rsidRDefault="0095001A" w:rsidP="0095001A">
            <w:pPr>
              <w:tabs>
                <w:tab w:val="left" w:pos="567"/>
              </w:tabs>
              <w:wordWrap/>
              <w:adjustRightInd w:val="0"/>
              <w:snapToGrid w:val="0"/>
              <w:spacing w:line="400" w:lineRule="atLeast"/>
              <w:jc w:val="center"/>
              <w:rPr>
                <w:rFonts w:ascii="Times New Roman"/>
                <w:sz w:val="22"/>
                <w:szCs w:val="22"/>
              </w:rPr>
            </w:pPr>
          </w:p>
          <w:tbl>
            <w:tblPr>
              <w:tblW w:w="8979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8979"/>
            </w:tblGrid>
            <w:tr w:rsidR="0095001A" w:rsidRPr="008A321E" w:rsidTr="00AB2E1C">
              <w:trPr>
                <w:trHeight w:val="793"/>
              </w:trPr>
              <w:tc>
                <w:tcPr>
                  <w:tcW w:w="8979" w:type="dxa"/>
                  <w:vAlign w:val="center"/>
                </w:tcPr>
                <w:p w:rsidR="001E1086" w:rsidRPr="00D31D30" w:rsidRDefault="00891FA9" w:rsidP="00650568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20" w:lineRule="atLeast"/>
                    <w:jc w:val="center"/>
                    <w:rPr>
                      <w:rFonts w:ascii="Times New Roman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</w:pPr>
                  <w:proofErr w:type="spellStart"/>
                  <w:r w:rsidRPr="00891FA9"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>Ssangyong</w:t>
                  </w:r>
                  <w:proofErr w:type="spellEnd"/>
                  <w:r w:rsidRPr="00891FA9"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 xml:space="preserve"> Motor Records Highest Sales Figures in 2012</w:t>
                  </w:r>
                  <w:r w:rsidR="00D9387A">
                    <w:rPr>
                      <w:rFonts w:ascii="Times New Roman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>,</w:t>
                  </w:r>
                  <w:r w:rsidRPr="00891FA9">
                    <w:rPr>
                      <w:rFonts w:ascii="Times New Roman" w:hint="eastAsia"/>
                      <w:b/>
                      <w:bCs/>
                      <w:spacing w:val="-20"/>
                      <w:kern w:val="0"/>
                      <w:sz w:val="40"/>
                      <w:szCs w:val="40"/>
                    </w:rPr>
                    <w:t xml:space="preserve"> since 2007</w:t>
                  </w:r>
                </w:p>
              </w:tc>
            </w:tr>
            <w:tr w:rsidR="0095001A" w:rsidRPr="008A321E" w:rsidTr="00F47DF2">
              <w:trPr>
                <w:trHeight w:val="2719"/>
              </w:trPr>
              <w:tc>
                <w:tcPr>
                  <w:tcW w:w="8979" w:type="dxa"/>
                  <w:vAlign w:val="center"/>
                </w:tcPr>
                <w:p w:rsidR="00514E3A" w:rsidRPr="00677463" w:rsidRDefault="00514E3A" w:rsidP="00677463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60" w:lineRule="atLeast"/>
                    <w:rPr>
                      <w:rFonts w:eastAsia="Batang" w:hAnsi="Batang" w:cs="Batang"/>
                      <w:b/>
                      <w:color w:val="000000"/>
                      <w:spacing w:val="-16"/>
                      <w:sz w:val="26"/>
                      <w:szCs w:val="26"/>
                    </w:rPr>
                  </w:pPr>
                  <w:r w:rsidRPr="0025579D">
                    <w:rPr>
                      <w:rFonts w:eastAsia="Batang" w:hAnsi="Batang" w:cs="Batang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▪</w:t>
                  </w:r>
                  <w:r w:rsidRPr="00677463">
                    <w:rPr>
                      <w:rFonts w:eastAsia="Batang" w:hAnsi="Batang" w:cs="Batang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S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trong performance by </w:t>
                  </w:r>
                  <w:proofErr w:type="spellStart"/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Korando</w:t>
                  </w:r>
                  <w:proofErr w:type="spellEnd"/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series, 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drives 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sales 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growth of</w:t>
                  </w:r>
                  <w:r w:rsidR="00677463" w:rsidRPr="00677463">
                    <w:rPr>
                      <w:rFonts w:eastAsia="Batang" w:hAnsi="Batang" w:cs="Batang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6.8%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,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R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evenue 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up 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by 3.3% over previous year</w:t>
                  </w:r>
                </w:p>
                <w:p w:rsidR="00AF4092" w:rsidRDefault="00514E3A" w:rsidP="00514E3A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60" w:lineRule="atLeast"/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</w:pPr>
                  <w:r w:rsidRPr="0025579D">
                    <w:rPr>
                      <w:rFonts w:eastAsia="Batang" w:hAnsi="Batang" w:cs="Batang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▪</w:t>
                  </w:r>
                  <w:r w:rsidRPr="0025579D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F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acelift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ed</w:t>
                  </w:r>
                  <w:proofErr w:type="spellEnd"/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models, 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help increase 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domestic sales by 23.4%, which is the 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highest</w:t>
                  </w:r>
                  <w:r w:rsidR="00D9387A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growth rate among Korean automakers</w:t>
                  </w:r>
                </w:p>
                <w:p w:rsidR="003709B2" w:rsidRPr="00514E3A" w:rsidRDefault="00514E3A" w:rsidP="00650568">
                  <w:pPr>
                    <w:tabs>
                      <w:tab w:val="left" w:pos="567"/>
                    </w:tabs>
                    <w:wordWrap/>
                    <w:adjustRightInd w:val="0"/>
                    <w:snapToGrid w:val="0"/>
                    <w:spacing w:line="360" w:lineRule="atLeast"/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</w:pPr>
                  <w:r w:rsidRPr="0025579D">
                    <w:rPr>
                      <w:rFonts w:eastAsia="Batang" w:hAnsi="Batang" w:cs="Batang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▪</w:t>
                  </w:r>
                  <w:r w:rsidRPr="0025579D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With strong growth in sales, operating deficit was substantially reduced compared to the previous year</w:t>
                  </w:r>
                  <w:r w:rsidR="00D9387A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,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 xml:space="preserve"> improving the company</w:t>
                  </w:r>
                  <w:r w:rsidR="00677463" w:rsidRPr="00677463">
                    <w:rPr>
                      <w:rFonts w:ascii="Times New Roman"/>
                      <w:b/>
                      <w:color w:val="000000"/>
                      <w:spacing w:val="-16"/>
                      <w:sz w:val="26"/>
                      <w:szCs w:val="26"/>
                    </w:rPr>
                    <w:t>’</w:t>
                  </w:r>
                  <w:r w:rsidR="00677463" w:rsidRPr="00677463">
                    <w:rPr>
                      <w:rFonts w:ascii="Times New Roman" w:hint="eastAsia"/>
                      <w:b/>
                      <w:color w:val="000000"/>
                      <w:spacing w:val="-16"/>
                      <w:sz w:val="26"/>
                      <w:szCs w:val="26"/>
                    </w:rPr>
                    <w:t>s financial performance</w:t>
                  </w:r>
                </w:p>
              </w:tc>
            </w:tr>
            <w:tr w:rsidR="0095001A" w:rsidRPr="008A321E">
              <w:trPr>
                <w:trHeight w:val="1985"/>
              </w:trPr>
              <w:tc>
                <w:tcPr>
                  <w:tcW w:w="8979" w:type="dxa"/>
                </w:tcPr>
                <w:p w:rsidR="00677463" w:rsidRPr="00677463" w:rsidRDefault="00933A4E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proofErr w:type="spellStart"/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</w:t>
                  </w:r>
                  <w:proofErr w:type="spellEnd"/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Motor (</w:t>
                  </w:r>
                  <w:r w:rsidR="00171E4B" w:rsidRPr="0025579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CEO Lee Yoo-</w:t>
                  </w:r>
                  <w:proofErr w:type="spellStart"/>
                  <w:r w:rsidR="00171E4B" w:rsidRPr="0025579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il</w:t>
                  </w:r>
                  <w:proofErr w:type="spellEnd"/>
                  <w:r w:rsidR="00171E4B" w:rsidRPr="0025579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; </w:t>
                  </w:r>
                  <w:hyperlink r:id="rId9" w:history="1">
                    <w:r w:rsidR="00171E4B" w:rsidRPr="0025579D">
                      <w:rPr>
                        <w:rFonts w:ascii="Times New Roman" w:hint="eastAsia"/>
                        <w:color w:val="000000"/>
                        <w:spacing w:val="-16"/>
                        <w:sz w:val="24"/>
                      </w:rPr>
                      <w:t>www.smotor.com</w:t>
                    </w:r>
                  </w:hyperlink>
                  <w:r w:rsidR="00171E4B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), part of the US$15</w:t>
                  </w:r>
                  <w:r w:rsidR="00AE0BCF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.9</w:t>
                  </w:r>
                  <w:r w:rsidR="00171E4B" w:rsidRPr="0025579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billion Ma</w:t>
                  </w:r>
                  <w:r w:rsidR="00171E4B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hindra Group, a</w:t>
                  </w:r>
                  <w:r w:rsidR="00171E4B" w:rsidRPr="002935F2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nnounced on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Feb. </w:t>
                  </w:r>
                  <w:r w:rsidR="0095492B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2</w:t>
                  </w:r>
                  <w:r w:rsidR="00BA6546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6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, 2013 that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during 2012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the company recorded revenue of 2,863.8 billion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Korean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won, operating loss of 99 billion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Korean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won, and a current net loss of </w:t>
                  </w:r>
                  <w:r w:rsidR="006767B6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106</w:t>
                  </w:r>
                  <w:r w:rsidR="00A642C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.1</w:t>
                  </w:r>
                  <w:r w:rsidR="006767B6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billion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Korean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won after selling 47,700 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vehicles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in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the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domestic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market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and 73,017 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vehicles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including CKDs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in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the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overseas market. </w:t>
                  </w:r>
                </w:p>
                <w:p w:rsidR="00677463" w:rsidRDefault="00677463" w:rsidP="00EA0045">
                  <w:pPr>
                    <w:wordWrap/>
                    <w:snapToGrid w:val="0"/>
                    <w:spacing w:line="36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677463" w:rsidRPr="00677463" w:rsidRDefault="00677463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The company recorded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its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highest sales figure since 2007 thanks to the stron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g sales performances of </w:t>
                  </w:r>
                  <w:proofErr w:type="spellStart"/>
                  <w:r w:rsidR="00D9387A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facelift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ed</w:t>
                  </w:r>
                  <w:proofErr w:type="spellEnd"/>
                  <w:r w:rsidR="00D9387A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models like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the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Korando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C and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Korando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Sports in 2012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. That 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led to a sales volume increase of 6.8% year-on-year and revenue growth by 3.3% year-on-year. </w:t>
                  </w:r>
                </w:p>
                <w:p w:rsidR="00677463" w:rsidRPr="008C6DCC" w:rsidRDefault="00677463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677463" w:rsidRPr="00677463" w:rsidRDefault="00677463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In particular, 49,660 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vehicles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and 35,798 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vehicles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of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Korando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C and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Korando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Sports were sold respectively to account for 70.8% or 85,458 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vehicles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of the total sales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strongly pushing up the sales </w:t>
                  </w:r>
                  <w:r w:rsidRPr="0067746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volume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at</w:t>
                  </w:r>
                  <w:r w:rsidR="00D9387A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</w:t>
                  </w:r>
                  <w:proofErr w:type="spellEnd"/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Motor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.</w:t>
                  </w:r>
                </w:p>
                <w:p w:rsidR="00677463" w:rsidRPr="00677463" w:rsidRDefault="00677463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677463" w:rsidRPr="00677463" w:rsidRDefault="00D9387A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In Korea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, </w:t>
                  </w:r>
                  <w:proofErr w:type="spellStart"/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</w:t>
                  </w:r>
                  <w:proofErr w:type="spellEnd"/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Motor set the highest growth record of 23.4% with the introduction of </w:t>
                  </w:r>
                  <w:proofErr w:type="spellStart"/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facelift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ed</w:t>
                  </w:r>
                  <w:proofErr w:type="spellEnd"/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models 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even though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the overall demand in the </w:t>
                  </w:r>
                  <w:r w:rsidR="00677463" w:rsidRPr="0067746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automotive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market fell </w:t>
                  </w:r>
                  <w:r w:rsidR="00677463" w:rsidRPr="0067746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and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the market contracted by 4.3% compared to </w:t>
                  </w:r>
                  <w:r w:rsidR="0095492B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previous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year</w:t>
                  </w:r>
                  <w:r w:rsidR="00452D77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.</w:t>
                  </w:r>
                </w:p>
                <w:p w:rsidR="008A106D" w:rsidRDefault="008A106D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8A106D" w:rsidRDefault="008A106D" w:rsidP="00E93DC3">
                  <w:pPr>
                    <w:wordWrap/>
                    <w:snapToGrid w:val="0"/>
                    <w:spacing w:line="360" w:lineRule="exac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Exports were </w:t>
                  </w:r>
                  <w:r w:rsidR="00066F42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at the </w:t>
                  </w:r>
                  <w:r w:rsidR="00066F42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similar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level as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in 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2011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at 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74,350 vehicles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 w:rsidR="00066F42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="005C1EC8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which </w:t>
                  </w:r>
                  <w:proofErr w:type="gramStart"/>
                  <w:r w:rsidR="005C1EC8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was</w:t>
                  </w:r>
                  <w:proofErr w:type="gramEnd"/>
                  <w:r w:rsidR="005C1EC8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th</w:t>
                  </w:r>
                  <w:r w:rsidR="00066F42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e highest sales ever, thanks to 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growing demand from 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Russia, Asia </w:t>
                  </w:r>
                  <w:r w:rsidR="00E93DC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and 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Africa</w:t>
                  </w:r>
                  <w:r w:rsidR="00D9387A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,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as well as </w:t>
                  </w:r>
                  <w:r w:rsidR="00E93DC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new markets including India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. </w:t>
                  </w:r>
                  <w:r w:rsidR="00E93DC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Russia is the first </w:t>
                  </w:r>
                  <w:r w:rsidR="00E93DC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export</w:t>
                  </w:r>
                  <w:r w:rsidR="00E93DC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market for the company to record an annual export of over 30,000 veh</w:t>
                  </w:r>
                  <w:r w:rsidR="008C6D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icles to a single country.</w:t>
                  </w:r>
                </w:p>
                <w:p w:rsidR="00122581" w:rsidRDefault="00D9387A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lastRenderedPageBreak/>
                    <w:t>These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volume increase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s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helped reduce the operating loss by 42.2 billion 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Korean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won to 99 billion 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Korean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won compared to the previous year (loss of 141.2 billion </w:t>
                  </w:r>
                  <w:r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Korean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won), and </w:t>
                  </w:r>
                  <w:r w:rsidR="000B38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taking into consideration the gain on </w:t>
                  </w:r>
                  <w:r w:rsidR="000773DA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debt forgiveness</w:t>
                  </w:r>
                  <w:r w:rsidR="000B38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of 49 billion won that was recognized in 2011, the net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loss also was </w:t>
                  </w:r>
                  <w:r w:rsidR="000B38C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substantially </w:t>
                  </w:r>
                  <w:r w:rsidR="00677463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reduced </w:t>
                  </w:r>
                  <w:r w:rsidR="003012C7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to 106</w:t>
                  </w:r>
                  <w:r w:rsidR="00A642CD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.1</w:t>
                  </w:r>
                  <w:r w:rsidR="003012C7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billion Korean won</w:t>
                  </w:r>
                  <w:r w:rsidR="006B465C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. Th</w:t>
                  </w:r>
                  <w:r w:rsidR="00122581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ere was a recent court ruling regarding the workers on unpaid leave, which had an impact on the 2012 financials. However, the ruling has been appealed by the company.</w:t>
                  </w:r>
                </w:p>
                <w:p w:rsidR="004E521D" w:rsidRPr="00677463" w:rsidRDefault="004E521D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677463" w:rsidRPr="00677463" w:rsidRDefault="00677463" w:rsidP="00677463">
                  <w:pPr>
                    <w:tabs>
                      <w:tab w:val="left" w:pos="567"/>
                    </w:tabs>
                    <w:kinsoku w:val="0"/>
                    <w:adjustRightInd w:val="0"/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Going forward, in 2013, the company will focus on</w:t>
                  </w:r>
                  <w:r w:rsidR="00047917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meeting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its global sales target, internal management, </w:t>
                  </w:r>
                  <w:r w:rsidR="00047917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developing 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foundations for</w:t>
                  </w:r>
                  <w:r w:rsidR="00047917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 xml:space="preserve"> the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future and cooperative labor-management relations. </w:t>
                  </w:r>
                </w:p>
                <w:p w:rsidR="00677463" w:rsidRPr="00677463" w:rsidRDefault="00677463" w:rsidP="00677463">
                  <w:pPr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  <w:p w:rsidR="00677463" w:rsidRDefault="00677463" w:rsidP="00677463">
                  <w:pPr>
                    <w:snapToGrid w:val="0"/>
                    <w:spacing w:line="380" w:lineRule="atLeast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 w:rsidRPr="0030356F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Lee Yoo-</w:t>
                  </w:r>
                  <w:proofErr w:type="spellStart"/>
                  <w:r w:rsidRPr="0030356F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il</w:t>
                  </w:r>
                  <w:proofErr w:type="spellEnd"/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, CEO of </w:t>
                  </w:r>
                  <w:proofErr w:type="spellStart"/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</w:t>
                  </w:r>
                  <w:proofErr w:type="spellEnd"/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Motor, commented</w:t>
                  </w:r>
                  <w:r w:rsidR="00F36B1F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,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67746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“</w:t>
                  </w:r>
                  <w:r w:rsidR="00047917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D</w:t>
                  </w:r>
                  <w:r w:rsidR="00047917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espite 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the global recession, the company was able to increase both sales volume and revenue with the help of strong sales of the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Korando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series, which helped improve our P/L</w:t>
                  </w:r>
                  <w:r w:rsidRPr="0067746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”</w:t>
                  </w:r>
                  <w:r w:rsidR="00F36B1F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, adding,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67746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“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2013 will be a very important year for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Ssangyong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, more than the past couple of years, </w:t>
                  </w:r>
                  <w:r w:rsidR="00047917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and</w:t>
                  </w:r>
                  <w:r w:rsidR="00047917"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the company will do its best to increase global sales by successfully introducing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facelift</w:t>
                  </w:r>
                  <w:r w:rsidR="00047917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ed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models including the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Korando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  <w:proofErr w:type="spellStart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Turismo</w:t>
                  </w:r>
                  <w:proofErr w:type="spellEnd"/>
                  <w:r w:rsidRPr="00677463"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and advancing into new overseas markets.</w:t>
                  </w:r>
                  <w:r w:rsidRPr="00677463">
                    <w:rPr>
                      <w:rFonts w:ascii="Times New Roman"/>
                      <w:color w:val="000000"/>
                      <w:spacing w:val="-16"/>
                      <w:sz w:val="24"/>
                    </w:rPr>
                    <w:t>”</w:t>
                  </w: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 xml:space="preserve"> </w:t>
                  </w:r>
                </w:p>
                <w:p w:rsidR="00677463" w:rsidRPr="00677463" w:rsidRDefault="00677463" w:rsidP="00677463">
                  <w:pPr>
                    <w:snapToGrid w:val="0"/>
                    <w:spacing w:line="380" w:lineRule="atLeast"/>
                    <w:jc w:val="center"/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  <w:r>
                    <w:rPr>
                      <w:rFonts w:ascii="Times New Roman" w:hint="eastAsia"/>
                      <w:color w:val="000000"/>
                      <w:spacing w:val="-16"/>
                      <w:sz w:val="24"/>
                    </w:rPr>
                    <w:t>###</w:t>
                  </w:r>
                </w:p>
                <w:p w:rsidR="00094A75" w:rsidRPr="006730E4" w:rsidRDefault="00094A75" w:rsidP="004E521D">
                  <w:pPr>
                    <w:tabs>
                      <w:tab w:val="left" w:pos="885"/>
                    </w:tabs>
                    <w:rPr>
                      <w:rFonts w:ascii="Times New Roman"/>
                      <w:color w:val="000000"/>
                      <w:spacing w:val="-16"/>
                      <w:sz w:val="24"/>
                    </w:rPr>
                  </w:pPr>
                </w:p>
              </w:tc>
            </w:tr>
          </w:tbl>
          <w:p w:rsidR="00976559" w:rsidRPr="008A321E" w:rsidRDefault="004E521D" w:rsidP="00AF35BD">
            <w:pPr>
              <w:wordWrap/>
              <w:adjustRightInd w:val="0"/>
              <w:spacing w:line="400" w:lineRule="atLeast"/>
              <w:ind w:rightChars="96" w:right="192"/>
              <w:rPr>
                <w:rFonts w:ascii="Times New Roman"/>
                <w:spacing w:val="-16"/>
                <w:kern w:val="0"/>
                <w:sz w:val="22"/>
                <w:szCs w:val="22"/>
              </w:rPr>
            </w:pPr>
            <w:r>
              <w:rPr>
                <w:rFonts w:ascii="Times New Roman"/>
                <w:noProof/>
                <w:spacing w:val="-16"/>
                <w:kern w:val="0"/>
                <w:sz w:val="22"/>
                <w:szCs w:val="22"/>
              </w:rPr>
              <w:lastRenderedPageBreak/>
              <w:drawing>
                <wp:inline distT="0" distB="0" distL="0" distR="0">
                  <wp:extent cx="4257922" cy="3808674"/>
                  <wp:effectExtent l="19050" t="0" r="9278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415" cy="381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1D" w:rsidRPr="00677463" w:rsidRDefault="004E521D" w:rsidP="004E521D">
      <w:pPr>
        <w:tabs>
          <w:tab w:val="left" w:pos="885"/>
        </w:tabs>
      </w:pPr>
      <w:r w:rsidRPr="00677463">
        <w:rPr>
          <w:rFonts w:ascii="Times New Roman" w:hint="eastAsia"/>
          <w:color w:val="000000"/>
          <w:spacing w:val="-16"/>
          <w:sz w:val="24"/>
        </w:rPr>
        <w:lastRenderedPageBreak/>
        <w:t>* 2011 P/L includes approx. 49 billion won profit from exemption from rehabilitation debts</w:t>
      </w:r>
      <w:r w:rsidRPr="003C2128">
        <w:rPr>
          <w:rFonts w:hAnsi="Batang" w:cs="Arial" w:hint="eastAsia"/>
          <w:szCs w:val="20"/>
        </w:rPr>
        <w:t>.</w:t>
      </w:r>
    </w:p>
    <w:p w:rsidR="00773C90" w:rsidRPr="004E521D" w:rsidRDefault="00773C90" w:rsidP="006B5D68"/>
    <w:sectPr w:rsidR="00773C90" w:rsidRPr="004E521D" w:rsidSect="00354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D2" w:rsidRDefault="00F153D2" w:rsidP="004C3E58">
      <w:r>
        <w:separator/>
      </w:r>
    </w:p>
  </w:endnote>
  <w:endnote w:type="continuationSeparator" w:id="0">
    <w:p w:rsidR="00F153D2" w:rsidRDefault="00F153D2" w:rsidP="004C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D2" w:rsidRDefault="00F153D2" w:rsidP="004C3E58">
      <w:r>
        <w:separator/>
      </w:r>
    </w:p>
  </w:footnote>
  <w:footnote w:type="continuationSeparator" w:id="0">
    <w:p w:rsidR="00F153D2" w:rsidRDefault="00F153D2" w:rsidP="004C3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4pt;height:9.4pt" o:bullet="t">
        <v:imagedata r:id="rId1" o:title="BD14870_"/>
      </v:shape>
    </w:pict>
  </w:numPicBullet>
  <w:abstractNum w:abstractNumId="0">
    <w:nsid w:val="07E75D87"/>
    <w:multiLevelType w:val="hybridMultilevel"/>
    <w:tmpl w:val="B9EE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C29DA"/>
    <w:multiLevelType w:val="hybridMultilevel"/>
    <w:tmpl w:val="83FE05B6"/>
    <w:lvl w:ilvl="0" w:tplc="BDDA07B8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CFE2474"/>
    <w:multiLevelType w:val="hybridMultilevel"/>
    <w:tmpl w:val="5AF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01A"/>
    <w:rsid w:val="000041E3"/>
    <w:rsid w:val="00011D35"/>
    <w:rsid w:val="00013579"/>
    <w:rsid w:val="000217E2"/>
    <w:rsid w:val="00021852"/>
    <w:rsid w:val="0002209D"/>
    <w:rsid w:val="0002420D"/>
    <w:rsid w:val="000275BC"/>
    <w:rsid w:val="0003181F"/>
    <w:rsid w:val="000357B4"/>
    <w:rsid w:val="00035F50"/>
    <w:rsid w:val="00040AE2"/>
    <w:rsid w:val="00042181"/>
    <w:rsid w:val="00047917"/>
    <w:rsid w:val="00050D4C"/>
    <w:rsid w:val="000524B6"/>
    <w:rsid w:val="00052AEE"/>
    <w:rsid w:val="00057556"/>
    <w:rsid w:val="00062CC2"/>
    <w:rsid w:val="00066294"/>
    <w:rsid w:val="00066F42"/>
    <w:rsid w:val="00076EC1"/>
    <w:rsid w:val="000773DA"/>
    <w:rsid w:val="00077438"/>
    <w:rsid w:val="0008425C"/>
    <w:rsid w:val="00084735"/>
    <w:rsid w:val="00091979"/>
    <w:rsid w:val="00094A75"/>
    <w:rsid w:val="000A0452"/>
    <w:rsid w:val="000A2AE6"/>
    <w:rsid w:val="000A5F72"/>
    <w:rsid w:val="000B38CC"/>
    <w:rsid w:val="000B4EDD"/>
    <w:rsid w:val="000C46FB"/>
    <w:rsid w:val="000D4084"/>
    <w:rsid w:val="000D5E1A"/>
    <w:rsid w:val="000D6010"/>
    <w:rsid w:val="000D6DC9"/>
    <w:rsid w:val="000E4368"/>
    <w:rsid w:val="000E6704"/>
    <w:rsid w:val="000F0BCC"/>
    <w:rsid w:val="000F239B"/>
    <w:rsid w:val="000F2C3E"/>
    <w:rsid w:val="000F6615"/>
    <w:rsid w:val="000F7EE3"/>
    <w:rsid w:val="001062C4"/>
    <w:rsid w:val="00106A30"/>
    <w:rsid w:val="00107657"/>
    <w:rsid w:val="001103E8"/>
    <w:rsid w:val="00110D6B"/>
    <w:rsid w:val="00110D8E"/>
    <w:rsid w:val="00122581"/>
    <w:rsid w:val="0012441A"/>
    <w:rsid w:val="00125D45"/>
    <w:rsid w:val="0013182C"/>
    <w:rsid w:val="00131B4D"/>
    <w:rsid w:val="00133087"/>
    <w:rsid w:val="00137574"/>
    <w:rsid w:val="00137A6D"/>
    <w:rsid w:val="00140057"/>
    <w:rsid w:val="0014180F"/>
    <w:rsid w:val="0014294F"/>
    <w:rsid w:val="001444E6"/>
    <w:rsid w:val="00146DC8"/>
    <w:rsid w:val="00147845"/>
    <w:rsid w:val="00151CB7"/>
    <w:rsid w:val="001529D1"/>
    <w:rsid w:val="00153C94"/>
    <w:rsid w:val="0016138D"/>
    <w:rsid w:val="001622B8"/>
    <w:rsid w:val="001627A4"/>
    <w:rsid w:val="001654A2"/>
    <w:rsid w:val="00166F74"/>
    <w:rsid w:val="00171E4B"/>
    <w:rsid w:val="00175B0B"/>
    <w:rsid w:val="00176193"/>
    <w:rsid w:val="001831CA"/>
    <w:rsid w:val="0018559E"/>
    <w:rsid w:val="00191074"/>
    <w:rsid w:val="001A19FD"/>
    <w:rsid w:val="001A235F"/>
    <w:rsid w:val="001A2EA3"/>
    <w:rsid w:val="001A4B91"/>
    <w:rsid w:val="001B0EAB"/>
    <w:rsid w:val="001B30B3"/>
    <w:rsid w:val="001B3897"/>
    <w:rsid w:val="001B4160"/>
    <w:rsid w:val="001B4F31"/>
    <w:rsid w:val="001C1C8A"/>
    <w:rsid w:val="001C3812"/>
    <w:rsid w:val="001C3CC6"/>
    <w:rsid w:val="001D0A1D"/>
    <w:rsid w:val="001D0E15"/>
    <w:rsid w:val="001D6BB0"/>
    <w:rsid w:val="001D76D5"/>
    <w:rsid w:val="001E1086"/>
    <w:rsid w:val="001E2254"/>
    <w:rsid w:val="001E3522"/>
    <w:rsid w:val="001E7FE2"/>
    <w:rsid w:val="001F21B3"/>
    <w:rsid w:val="001F24C1"/>
    <w:rsid w:val="001F5B01"/>
    <w:rsid w:val="001F63E3"/>
    <w:rsid w:val="001F6C9D"/>
    <w:rsid w:val="00212F10"/>
    <w:rsid w:val="00240BD8"/>
    <w:rsid w:val="00240C40"/>
    <w:rsid w:val="00250152"/>
    <w:rsid w:val="002524A1"/>
    <w:rsid w:val="00253892"/>
    <w:rsid w:val="00254C44"/>
    <w:rsid w:val="002600D2"/>
    <w:rsid w:val="00262C05"/>
    <w:rsid w:val="002701EF"/>
    <w:rsid w:val="00270637"/>
    <w:rsid w:val="00274A00"/>
    <w:rsid w:val="002774D8"/>
    <w:rsid w:val="00277B8A"/>
    <w:rsid w:val="002851EE"/>
    <w:rsid w:val="00285990"/>
    <w:rsid w:val="002875FE"/>
    <w:rsid w:val="00287DF9"/>
    <w:rsid w:val="00294297"/>
    <w:rsid w:val="0029430F"/>
    <w:rsid w:val="002970CF"/>
    <w:rsid w:val="00297A3A"/>
    <w:rsid w:val="002A2408"/>
    <w:rsid w:val="002A393D"/>
    <w:rsid w:val="002B0178"/>
    <w:rsid w:val="002B59B1"/>
    <w:rsid w:val="002C0F94"/>
    <w:rsid w:val="002C19E9"/>
    <w:rsid w:val="002C5F14"/>
    <w:rsid w:val="002C6D34"/>
    <w:rsid w:val="002D062E"/>
    <w:rsid w:val="002E4D32"/>
    <w:rsid w:val="002F472C"/>
    <w:rsid w:val="002F4976"/>
    <w:rsid w:val="003012C7"/>
    <w:rsid w:val="00301B2B"/>
    <w:rsid w:val="003037B2"/>
    <w:rsid w:val="00304545"/>
    <w:rsid w:val="003048C8"/>
    <w:rsid w:val="003053D0"/>
    <w:rsid w:val="0030637D"/>
    <w:rsid w:val="00311FD2"/>
    <w:rsid w:val="003126D5"/>
    <w:rsid w:val="003157A2"/>
    <w:rsid w:val="0031714E"/>
    <w:rsid w:val="00320840"/>
    <w:rsid w:val="00320980"/>
    <w:rsid w:val="003209D5"/>
    <w:rsid w:val="0032211A"/>
    <w:rsid w:val="0032365E"/>
    <w:rsid w:val="0032495A"/>
    <w:rsid w:val="003253B0"/>
    <w:rsid w:val="00325C6C"/>
    <w:rsid w:val="003362BA"/>
    <w:rsid w:val="00345F67"/>
    <w:rsid w:val="00346473"/>
    <w:rsid w:val="003472C4"/>
    <w:rsid w:val="00350997"/>
    <w:rsid w:val="00351025"/>
    <w:rsid w:val="0035480F"/>
    <w:rsid w:val="003576F8"/>
    <w:rsid w:val="0036173A"/>
    <w:rsid w:val="003709B2"/>
    <w:rsid w:val="00371C27"/>
    <w:rsid w:val="003771C4"/>
    <w:rsid w:val="003806EE"/>
    <w:rsid w:val="003807F5"/>
    <w:rsid w:val="00393458"/>
    <w:rsid w:val="00397336"/>
    <w:rsid w:val="003A4BE9"/>
    <w:rsid w:val="003A5758"/>
    <w:rsid w:val="003A59A1"/>
    <w:rsid w:val="003B3342"/>
    <w:rsid w:val="003C17EB"/>
    <w:rsid w:val="003C29A5"/>
    <w:rsid w:val="003C3E89"/>
    <w:rsid w:val="003C4223"/>
    <w:rsid w:val="003C7C4D"/>
    <w:rsid w:val="003D44D8"/>
    <w:rsid w:val="003D53C2"/>
    <w:rsid w:val="003D6E16"/>
    <w:rsid w:val="003E02AF"/>
    <w:rsid w:val="003E20FD"/>
    <w:rsid w:val="003E221C"/>
    <w:rsid w:val="003F413C"/>
    <w:rsid w:val="00400A10"/>
    <w:rsid w:val="004116D5"/>
    <w:rsid w:val="0042402C"/>
    <w:rsid w:val="00426294"/>
    <w:rsid w:val="00433C88"/>
    <w:rsid w:val="00434915"/>
    <w:rsid w:val="00434CB0"/>
    <w:rsid w:val="004356E1"/>
    <w:rsid w:val="00436F5C"/>
    <w:rsid w:val="00452D77"/>
    <w:rsid w:val="004557CB"/>
    <w:rsid w:val="00455CF5"/>
    <w:rsid w:val="00456DA9"/>
    <w:rsid w:val="0046679F"/>
    <w:rsid w:val="00467E66"/>
    <w:rsid w:val="0047333F"/>
    <w:rsid w:val="00484FF6"/>
    <w:rsid w:val="00486526"/>
    <w:rsid w:val="0049127D"/>
    <w:rsid w:val="004925D4"/>
    <w:rsid w:val="00493DD8"/>
    <w:rsid w:val="0049561C"/>
    <w:rsid w:val="0049679D"/>
    <w:rsid w:val="004A2F7D"/>
    <w:rsid w:val="004A3302"/>
    <w:rsid w:val="004A3B49"/>
    <w:rsid w:val="004A57FB"/>
    <w:rsid w:val="004B219A"/>
    <w:rsid w:val="004B2FDE"/>
    <w:rsid w:val="004C0B2C"/>
    <w:rsid w:val="004C35FF"/>
    <w:rsid w:val="004C3E58"/>
    <w:rsid w:val="004C6592"/>
    <w:rsid w:val="004C66CE"/>
    <w:rsid w:val="004C6E04"/>
    <w:rsid w:val="004D167B"/>
    <w:rsid w:val="004D1C7D"/>
    <w:rsid w:val="004D6F2F"/>
    <w:rsid w:val="004D7FC1"/>
    <w:rsid w:val="004E06E5"/>
    <w:rsid w:val="004E3C42"/>
    <w:rsid w:val="004E3EB8"/>
    <w:rsid w:val="004E521D"/>
    <w:rsid w:val="004E7F89"/>
    <w:rsid w:val="004F059D"/>
    <w:rsid w:val="004F3A5F"/>
    <w:rsid w:val="004F70BE"/>
    <w:rsid w:val="005014A0"/>
    <w:rsid w:val="005075DB"/>
    <w:rsid w:val="0050782E"/>
    <w:rsid w:val="00514E3A"/>
    <w:rsid w:val="00524C82"/>
    <w:rsid w:val="00531B0B"/>
    <w:rsid w:val="005430EC"/>
    <w:rsid w:val="005437DB"/>
    <w:rsid w:val="0054449F"/>
    <w:rsid w:val="0054755D"/>
    <w:rsid w:val="0055122E"/>
    <w:rsid w:val="005517A7"/>
    <w:rsid w:val="00552004"/>
    <w:rsid w:val="00553819"/>
    <w:rsid w:val="00561EC0"/>
    <w:rsid w:val="0056235C"/>
    <w:rsid w:val="00565E59"/>
    <w:rsid w:val="00570F36"/>
    <w:rsid w:val="005940C7"/>
    <w:rsid w:val="0059413B"/>
    <w:rsid w:val="00597FF6"/>
    <w:rsid w:val="005A0A6D"/>
    <w:rsid w:val="005A0E6A"/>
    <w:rsid w:val="005A272B"/>
    <w:rsid w:val="005A6656"/>
    <w:rsid w:val="005B00F0"/>
    <w:rsid w:val="005B2C37"/>
    <w:rsid w:val="005B4458"/>
    <w:rsid w:val="005B79FB"/>
    <w:rsid w:val="005C1EC8"/>
    <w:rsid w:val="005C1FCC"/>
    <w:rsid w:val="005C2C86"/>
    <w:rsid w:val="005C677C"/>
    <w:rsid w:val="005C7D76"/>
    <w:rsid w:val="005D02B1"/>
    <w:rsid w:val="005D26C5"/>
    <w:rsid w:val="005D4391"/>
    <w:rsid w:val="005D7941"/>
    <w:rsid w:val="005E21BB"/>
    <w:rsid w:val="005E3316"/>
    <w:rsid w:val="005E50DC"/>
    <w:rsid w:val="005F2EC3"/>
    <w:rsid w:val="005F6605"/>
    <w:rsid w:val="005F6CFD"/>
    <w:rsid w:val="00602A5E"/>
    <w:rsid w:val="00604630"/>
    <w:rsid w:val="0061012B"/>
    <w:rsid w:val="0061062E"/>
    <w:rsid w:val="0061164E"/>
    <w:rsid w:val="00614066"/>
    <w:rsid w:val="00614356"/>
    <w:rsid w:val="0061494F"/>
    <w:rsid w:val="006150ED"/>
    <w:rsid w:val="0062036B"/>
    <w:rsid w:val="006217C0"/>
    <w:rsid w:val="0062604C"/>
    <w:rsid w:val="006276B3"/>
    <w:rsid w:val="006341CF"/>
    <w:rsid w:val="00635272"/>
    <w:rsid w:val="00635664"/>
    <w:rsid w:val="00636F9F"/>
    <w:rsid w:val="006372E9"/>
    <w:rsid w:val="006377BA"/>
    <w:rsid w:val="00641241"/>
    <w:rsid w:val="00641537"/>
    <w:rsid w:val="00644802"/>
    <w:rsid w:val="00645DB4"/>
    <w:rsid w:val="00647E05"/>
    <w:rsid w:val="00650568"/>
    <w:rsid w:val="00651988"/>
    <w:rsid w:val="00651AED"/>
    <w:rsid w:val="006532DB"/>
    <w:rsid w:val="006556E5"/>
    <w:rsid w:val="006567A0"/>
    <w:rsid w:val="00656C28"/>
    <w:rsid w:val="006627E0"/>
    <w:rsid w:val="00663460"/>
    <w:rsid w:val="0066534B"/>
    <w:rsid w:val="00671EA4"/>
    <w:rsid w:val="006730E4"/>
    <w:rsid w:val="0067458D"/>
    <w:rsid w:val="0067488A"/>
    <w:rsid w:val="006767B6"/>
    <w:rsid w:val="00677463"/>
    <w:rsid w:val="00677AB2"/>
    <w:rsid w:val="00682E9D"/>
    <w:rsid w:val="00683821"/>
    <w:rsid w:val="00690134"/>
    <w:rsid w:val="00691D1F"/>
    <w:rsid w:val="006A111F"/>
    <w:rsid w:val="006A1E7A"/>
    <w:rsid w:val="006A28A9"/>
    <w:rsid w:val="006A303A"/>
    <w:rsid w:val="006A496E"/>
    <w:rsid w:val="006A78E4"/>
    <w:rsid w:val="006B382C"/>
    <w:rsid w:val="006B3DD6"/>
    <w:rsid w:val="006B465C"/>
    <w:rsid w:val="006B4D30"/>
    <w:rsid w:val="006B5D68"/>
    <w:rsid w:val="006B7967"/>
    <w:rsid w:val="006C2626"/>
    <w:rsid w:val="006C4FDC"/>
    <w:rsid w:val="006D1155"/>
    <w:rsid w:val="006D34F0"/>
    <w:rsid w:val="006D3826"/>
    <w:rsid w:val="006D6237"/>
    <w:rsid w:val="006D7F14"/>
    <w:rsid w:val="006E06A4"/>
    <w:rsid w:val="006F09A0"/>
    <w:rsid w:val="006F6F5F"/>
    <w:rsid w:val="00702460"/>
    <w:rsid w:val="007046C5"/>
    <w:rsid w:val="0071251A"/>
    <w:rsid w:val="00713E25"/>
    <w:rsid w:val="0071476E"/>
    <w:rsid w:val="00716262"/>
    <w:rsid w:val="00730D63"/>
    <w:rsid w:val="00730FDC"/>
    <w:rsid w:val="00740EFB"/>
    <w:rsid w:val="00742079"/>
    <w:rsid w:val="00743A48"/>
    <w:rsid w:val="00743E89"/>
    <w:rsid w:val="00744C40"/>
    <w:rsid w:val="00745DE4"/>
    <w:rsid w:val="00751DD1"/>
    <w:rsid w:val="00753914"/>
    <w:rsid w:val="00753D58"/>
    <w:rsid w:val="00765559"/>
    <w:rsid w:val="00771773"/>
    <w:rsid w:val="00773C90"/>
    <w:rsid w:val="00774CAF"/>
    <w:rsid w:val="00780000"/>
    <w:rsid w:val="00784068"/>
    <w:rsid w:val="0079047A"/>
    <w:rsid w:val="007906A2"/>
    <w:rsid w:val="0079086A"/>
    <w:rsid w:val="00792396"/>
    <w:rsid w:val="00793F83"/>
    <w:rsid w:val="007A13DF"/>
    <w:rsid w:val="007A5775"/>
    <w:rsid w:val="007A6CF4"/>
    <w:rsid w:val="007A7DA4"/>
    <w:rsid w:val="007B1224"/>
    <w:rsid w:val="007B131D"/>
    <w:rsid w:val="007B2EDB"/>
    <w:rsid w:val="007B4B98"/>
    <w:rsid w:val="007B4C68"/>
    <w:rsid w:val="007B508F"/>
    <w:rsid w:val="007B6BEE"/>
    <w:rsid w:val="007B6DA4"/>
    <w:rsid w:val="007B722C"/>
    <w:rsid w:val="007C1E26"/>
    <w:rsid w:val="007C1F46"/>
    <w:rsid w:val="007C77E7"/>
    <w:rsid w:val="007D0D6A"/>
    <w:rsid w:val="007D1DC1"/>
    <w:rsid w:val="007D41F4"/>
    <w:rsid w:val="007D6785"/>
    <w:rsid w:val="007E65FE"/>
    <w:rsid w:val="007F68EE"/>
    <w:rsid w:val="007F6BC0"/>
    <w:rsid w:val="00806F12"/>
    <w:rsid w:val="008105D7"/>
    <w:rsid w:val="00811069"/>
    <w:rsid w:val="00813CE9"/>
    <w:rsid w:val="00817356"/>
    <w:rsid w:val="008219A9"/>
    <w:rsid w:val="00823705"/>
    <w:rsid w:val="008279AB"/>
    <w:rsid w:val="00842054"/>
    <w:rsid w:val="00843BCB"/>
    <w:rsid w:val="00847AE7"/>
    <w:rsid w:val="008524FB"/>
    <w:rsid w:val="008573A8"/>
    <w:rsid w:val="00857954"/>
    <w:rsid w:val="00861C2A"/>
    <w:rsid w:val="00863B66"/>
    <w:rsid w:val="00863F8D"/>
    <w:rsid w:val="00864091"/>
    <w:rsid w:val="00866B9B"/>
    <w:rsid w:val="008702F1"/>
    <w:rsid w:val="008705BD"/>
    <w:rsid w:val="00871036"/>
    <w:rsid w:val="00873466"/>
    <w:rsid w:val="00873B78"/>
    <w:rsid w:val="00876BCD"/>
    <w:rsid w:val="008775E1"/>
    <w:rsid w:val="00881AC5"/>
    <w:rsid w:val="00882CA6"/>
    <w:rsid w:val="00882D9B"/>
    <w:rsid w:val="00886288"/>
    <w:rsid w:val="00886949"/>
    <w:rsid w:val="00891CAD"/>
    <w:rsid w:val="00891FA9"/>
    <w:rsid w:val="00896B11"/>
    <w:rsid w:val="008A106D"/>
    <w:rsid w:val="008A321E"/>
    <w:rsid w:val="008A5235"/>
    <w:rsid w:val="008A72A0"/>
    <w:rsid w:val="008A74D4"/>
    <w:rsid w:val="008B5EB4"/>
    <w:rsid w:val="008B755E"/>
    <w:rsid w:val="008C2EFE"/>
    <w:rsid w:val="008C384C"/>
    <w:rsid w:val="008C4D3E"/>
    <w:rsid w:val="008C6DCC"/>
    <w:rsid w:val="008C721F"/>
    <w:rsid w:val="008D053C"/>
    <w:rsid w:val="008D1A1A"/>
    <w:rsid w:val="008D3293"/>
    <w:rsid w:val="008D6440"/>
    <w:rsid w:val="008E3E62"/>
    <w:rsid w:val="008E482A"/>
    <w:rsid w:val="009037EF"/>
    <w:rsid w:val="00914874"/>
    <w:rsid w:val="00915EA1"/>
    <w:rsid w:val="00922597"/>
    <w:rsid w:val="00933A4E"/>
    <w:rsid w:val="009423D6"/>
    <w:rsid w:val="00946052"/>
    <w:rsid w:val="009476F9"/>
    <w:rsid w:val="0095001A"/>
    <w:rsid w:val="0095492B"/>
    <w:rsid w:val="00967C58"/>
    <w:rsid w:val="00970E49"/>
    <w:rsid w:val="00970F04"/>
    <w:rsid w:val="00973BA4"/>
    <w:rsid w:val="00976559"/>
    <w:rsid w:val="009767AC"/>
    <w:rsid w:val="00982775"/>
    <w:rsid w:val="00983CD8"/>
    <w:rsid w:val="00987B09"/>
    <w:rsid w:val="009923A0"/>
    <w:rsid w:val="009A1840"/>
    <w:rsid w:val="009A4BA5"/>
    <w:rsid w:val="009A7A5E"/>
    <w:rsid w:val="009B4189"/>
    <w:rsid w:val="009B63C7"/>
    <w:rsid w:val="009B7F0A"/>
    <w:rsid w:val="009C0085"/>
    <w:rsid w:val="009C7164"/>
    <w:rsid w:val="009D0228"/>
    <w:rsid w:val="009D4006"/>
    <w:rsid w:val="00A00CD4"/>
    <w:rsid w:val="00A04C25"/>
    <w:rsid w:val="00A12107"/>
    <w:rsid w:val="00A138E5"/>
    <w:rsid w:val="00A1488C"/>
    <w:rsid w:val="00A15133"/>
    <w:rsid w:val="00A21E32"/>
    <w:rsid w:val="00A27DAF"/>
    <w:rsid w:val="00A331C9"/>
    <w:rsid w:val="00A40936"/>
    <w:rsid w:val="00A503AB"/>
    <w:rsid w:val="00A51FD4"/>
    <w:rsid w:val="00A5288E"/>
    <w:rsid w:val="00A55F1B"/>
    <w:rsid w:val="00A637FA"/>
    <w:rsid w:val="00A642CD"/>
    <w:rsid w:val="00A6491F"/>
    <w:rsid w:val="00A650C0"/>
    <w:rsid w:val="00A71C3C"/>
    <w:rsid w:val="00A72EF0"/>
    <w:rsid w:val="00A76202"/>
    <w:rsid w:val="00A7765E"/>
    <w:rsid w:val="00AA0662"/>
    <w:rsid w:val="00AA6274"/>
    <w:rsid w:val="00AB2180"/>
    <w:rsid w:val="00AB2E1C"/>
    <w:rsid w:val="00AB4AAD"/>
    <w:rsid w:val="00AB7F2A"/>
    <w:rsid w:val="00AC17F5"/>
    <w:rsid w:val="00AC1CF4"/>
    <w:rsid w:val="00AC382A"/>
    <w:rsid w:val="00AC4D26"/>
    <w:rsid w:val="00AC52C6"/>
    <w:rsid w:val="00AC6250"/>
    <w:rsid w:val="00AC6AD2"/>
    <w:rsid w:val="00AD0282"/>
    <w:rsid w:val="00AD2E4F"/>
    <w:rsid w:val="00AD41DE"/>
    <w:rsid w:val="00AD5DF7"/>
    <w:rsid w:val="00AD60AF"/>
    <w:rsid w:val="00AD60C2"/>
    <w:rsid w:val="00AD6842"/>
    <w:rsid w:val="00AE012D"/>
    <w:rsid w:val="00AE0BCF"/>
    <w:rsid w:val="00AE59F1"/>
    <w:rsid w:val="00AE5ED6"/>
    <w:rsid w:val="00AE6C79"/>
    <w:rsid w:val="00AF0A7F"/>
    <w:rsid w:val="00AF35BD"/>
    <w:rsid w:val="00AF3EB7"/>
    <w:rsid w:val="00AF4092"/>
    <w:rsid w:val="00AF43E2"/>
    <w:rsid w:val="00AF4E37"/>
    <w:rsid w:val="00AF5311"/>
    <w:rsid w:val="00AF5E54"/>
    <w:rsid w:val="00B0485A"/>
    <w:rsid w:val="00B05F85"/>
    <w:rsid w:val="00B106CE"/>
    <w:rsid w:val="00B11C8D"/>
    <w:rsid w:val="00B24C09"/>
    <w:rsid w:val="00B2756B"/>
    <w:rsid w:val="00B3063B"/>
    <w:rsid w:val="00B32518"/>
    <w:rsid w:val="00B356EE"/>
    <w:rsid w:val="00B36994"/>
    <w:rsid w:val="00B43852"/>
    <w:rsid w:val="00B450CE"/>
    <w:rsid w:val="00B4679B"/>
    <w:rsid w:val="00B50C8F"/>
    <w:rsid w:val="00B51A24"/>
    <w:rsid w:val="00B545C5"/>
    <w:rsid w:val="00B545E5"/>
    <w:rsid w:val="00B54926"/>
    <w:rsid w:val="00B55C36"/>
    <w:rsid w:val="00B5685A"/>
    <w:rsid w:val="00B775BE"/>
    <w:rsid w:val="00B8009F"/>
    <w:rsid w:val="00B85500"/>
    <w:rsid w:val="00B9790D"/>
    <w:rsid w:val="00BA6546"/>
    <w:rsid w:val="00BA6DDE"/>
    <w:rsid w:val="00BA7E70"/>
    <w:rsid w:val="00BB1802"/>
    <w:rsid w:val="00BB1CF6"/>
    <w:rsid w:val="00BB465D"/>
    <w:rsid w:val="00BB4D95"/>
    <w:rsid w:val="00BB5271"/>
    <w:rsid w:val="00BB7839"/>
    <w:rsid w:val="00BC2675"/>
    <w:rsid w:val="00BC3588"/>
    <w:rsid w:val="00BC3630"/>
    <w:rsid w:val="00BD02C9"/>
    <w:rsid w:val="00BE4A04"/>
    <w:rsid w:val="00BE5E22"/>
    <w:rsid w:val="00BF1E1C"/>
    <w:rsid w:val="00BF2EEF"/>
    <w:rsid w:val="00BF6A8F"/>
    <w:rsid w:val="00BF6F3B"/>
    <w:rsid w:val="00BF7CDE"/>
    <w:rsid w:val="00C014A4"/>
    <w:rsid w:val="00C04C63"/>
    <w:rsid w:val="00C04FE4"/>
    <w:rsid w:val="00C06C64"/>
    <w:rsid w:val="00C10AA2"/>
    <w:rsid w:val="00C12355"/>
    <w:rsid w:val="00C22D8B"/>
    <w:rsid w:val="00C26CE9"/>
    <w:rsid w:val="00C27464"/>
    <w:rsid w:val="00C2794E"/>
    <w:rsid w:val="00C3403F"/>
    <w:rsid w:val="00C34A7E"/>
    <w:rsid w:val="00C3509C"/>
    <w:rsid w:val="00C352C0"/>
    <w:rsid w:val="00C35BBF"/>
    <w:rsid w:val="00C448BD"/>
    <w:rsid w:val="00C44F32"/>
    <w:rsid w:val="00C45956"/>
    <w:rsid w:val="00C4633D"/>
    <w:rsid w:val="00C506A3"/>
    <w:rsid w:val="00C5124E"/>
    <w:rsid w:val="00C51B94"/>
    <w:rsid w:val="00C559BC"/>
    <w:rsid w:val="00C70F3F"/>
    <w:rsid w:val="00C7547F"/>
    <w:rsid w:val="00C84EFD"/>
    <w:rsid w:val="00C875C3"/>
    <w:rsid w:val="00C87DA2"/>
    <w:rsid w:val="00C925B4"/>
    <w:rsid w:val="00C92C1F"/>
    <w:rsid w:val="00C92C84"/>
    <w:rsid w:val="00C93CE0"/>
    <w:rsid w:val="00C9560C"/>
    <w:rsid w:val="00C96F68"/>
    <w:rsid w:val="00CA14FA"/>
    <w:rsid w:val="00CB00C8"/>
    <w:rsid w:val="00CB3EB3"/>
    <w:rsid w:val="00CB5D1B"/>
    <w:rsid w:val="00CC044D"/>
    <w:rsid w:val="00CC6AF4"/>
    <w:rsid w:val="00CD17E9"/>
    <w:rsid w:val="00CD3769"/>
    <w:rsid w:val="00CD5801"/>
    <w:rsid w:val="00CD6777"/>
    <w:rsid w:val="00CE25F1"/>
    <w:rsid w:val="00CE59F0"/>
    <w:rsid w:val="00CF2644"/>
    <w:rsid w:val="00CF3797"/>
    <w:rsid w:val="00CF55A3"/>
    <w:rsid w:val="00D01A8E"/>
    <w:rsid w:val="00D046B2"/>
    <w:rsid w:val="00D054F0"/>
    <w:rsid w:val="00D0564F"/>
    <w:rsid w:val="00D059E8"/>
    <w:rsid w:val="00D16555"/>
    <w:rsid w:val="00D27482"/>
    <w:rsid w:val="00D31D30"/>
    <w:rsid w:val="00D3464F"/>
    <w:rsid w:val="00D37353"/>
    <w:rsid w:val="00D41B90"/>
    <w:rsid w:val="00D45C94"/>
    <w:rsid w:val="00D5721B"/>
    <w:rsid w:val="00D662A4"/>
    <w:rsid w:val="00D710D2"/>
    <w:rsid w:val="00D72FBE"/>
    <w:rsid w:val="00D741AB"/>
    <w:rsid w:val="00D863E1"/>
    <w:rsid w:val="00D86DA0"/>
    <w:rsid w:val="00D8708B"/>
    <w:rsid w:val="00D90925"/>
    <w:rsid w:val="00D9387A"/>
    <w:rsid w:val="00D96FFD"/>
    <w:rsid w:val="00DA1F70"/>
    <w:rsid w:val="00DA2525"/>
    <w:rsid w:val="00DA4781"/>
    <w:rsid w:val="00DA7F81"/>
    <w:rsid w:val="00DB265C"/>
    <w:rsid w:val="00DB35EB"/>
    <w:rsid w:val="00DC0192"/>
    <w:rsid w:val="00DC1564"/>
    <w:rsid w:val="00DC745C"/>
    <w:rsid w:val="00DD0B2A"/>
    <w:rsid w:val="00DD1BB2"/>
    <w:rsid w:val="00DD2041"/>
    <w:rsid w:val="00DD2D06"/>
    <w:rsid w:val="00DE144B"/>
    <w:rsid w:val="00DE5D1F"/>
    <w:rsid w:val="00DF4328"/>
    <w:rsid w:val="00E0108D"/>
    <w:rsid w:val="00E06C56"/>
    <w:rsid w:val="00E17D18"/>
    <w:rsid w:val="00E20578"/>
    <w:rsid w:val="00E20838"/>
    <w:rsid w:val="00E31132"/>
    <w:rsid w:val="00E40320"/>
    <w:rsid w:val="00E447C3"/>
    <w:rsid w:val="00E52813"/>
    <w:rsid w:val="00E534B0"/>
    <w:rsid w:val="00E54347"/>
    <w:rsid w:val="00E61230"/>
    <w:rsid w:val="00E620F3"/>
    <w:rsid w:val="00E63C74"/>
    <w:rsid w:val="00E646CD"/>
    <w:rsid w:val="00E648B9"/>
    <w:rsid w:val="00E7557D"/>
    <w:rsid w:val="00E75CB8"/>
    <w:rsid w:val="00E8040A"/>
    <w:rsid w:val="00E81CE1"/>
    <w:rsid w:val="00E8389C"/>
    <w:rsid w:val="00E83BEA"/>
    <w:rsid w:val="00E83D47"/>
    <w:rsid w:val="00E8559E"/>
    <w:rsid w:val="00E87916"/>
    <w:rsid w:val="00E90116"/>
    <w:rsid w:val="00E90A73"/>
    <w:rsid w:val="00E9332F"/>
    <w:rsid w:val="00E93DC3"/>
    <w:rsid w:val="00E9488E"/>
    <w:rsid w:val="00E95F05"/>
    <w:rsid w:val="00E96FED"/>
    <w:rsid w:val="00EA0045"/>
    <w:rsid w:val="00EB63B8"/>
    <w:rsid w:val="00EC110F"/>
    <w:rsid w:val="00EC4CAA"/>
    <w:rsid w:val="00EC6D0A"/>
    <w:rsid w:val="00ED0173"/>
    <w:rsid w:val="00ED675C"/>
    <w:rsid w:val="00EE1C3D"/>
    <w:rsid w:val="00EE2847"/>
    <w:rsid w:val="00EE56E8"/>
    <w:rsid w:val="00EE5A5A"/>
    <w:rsid w:val="00EF7A88"/>
    <w:rsid w:val="00F00468"/>
    <w:rsid w:val="00F02674"/>
    <w:rsid w:val="00F0318D"/>
    <w:rsid w:val="00F153D2"/>
    <w:rsid w:val="00F16F3B"/>
    <w:rsid w:val="00F21972"/>
    <w:rsid w:val="00F233FF"/>
    <w:rsid w:val="00F2343E"/>
    <w:rsid w:val="00F23BAB"/>
    <w:rsid w:val="00F25EE6"/>
    <w:rsid w:val="00F26C6E"/>
    <w:rsid w:val="00F36B1F"/>
    <w:rsid w:val="00F37324"/>
    <w:rsid w:val="00F37B61"/>
    <w:rsid w:val="00F413BF"/>
    <w:rsid w:val="00F41599"/>
    <w:rsid w:val="00F438D6"/>
    <w:rsid w:val="00F43A55"/>
    <w:rsid w:val="00F43C0F"/>
    <w:rsid w:val="00F462D1"/>
    <w:rsid w:val="00F47947"/>
    <w:rsid w:val="00F47DF2"/>
    <w:rsid w:val="00F50399"/>
    <w:rsid w:val="00F516FE"/>
    <w:rsid w:val="00F5247B"/>
    <w:rsid w:val="00F540D0"/>
    <w:rsid w:val="00F563D8"/>
    <w:rsid w:val="00F63E15"/>
    <w:rsid w:val="00F6580D"/>
    <w:rsid w:val="00F67A3E"/>
    <w:rsid w:val="00F72459"/>
    <w:rsid w:val="00F73FC6"/>
    <w:rsid w:val="00F76D30"/>
    <w:rsid w:val="00F8032D"/>
    <w:rsid w:val="00F82188"/>
    <w:rsid w:val="00F93EC8"/>
    <w:rsid w:val="00F9690A"/>
    <w:rsid w:val="00F975D8"/>
    <w:rsid w:val="00FA0A1D"/>
    <w:rsid w:val="00FA21C6"/>
    <w:rsid w:val="00FA2C3F"/>
    <w:rsid w:val="00FA2FC5"/>
    <w:rsid w:val="00FB0E2B"/>
    <w:rsid w:val="00FB2EDA"/>
    <w:rsid w:val="00FB2F64"/>
    <w:rsid w:val="00FB34D1"/>
    <w:rsid w:val="00FB6C82"/>
    <w:rsid w:val="00FC2726"/>
    <w:rsid w:val="00FC5E76"/>
    <w:rsid w:val="00FC6F69"/>
    <w:rsid w:val="00FD1625"/>
    <w:rsid w:val="00FD670E"/>
    <w:rsid w:val="00FE2224"/>
    <w:rsid w:val="00FE2883"/>
    <w:rsid w:val="00FE37F8"/>
    <w:rsid w:val="00FF032A"/>
    <w:rsid w:val="00FF1D28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01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3E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4C3E58"/>
    <w:rPr>
      <w:rFonts w:ascii="Batang"/>
      <w:kern w:val="2"/>
      <w:szCs w:val="24"/>
    </w:rPr>
  </w:style>
  <w:style w:type="paragraph" w:styleId="a4">
    <w:name w:val="footer"/>
    <w:basedOn w:val="a"/>
    <w:link w:val="Char0"/>
    <w:rsid w:val="004C3E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4C3E58"/>
    <w:rPr>
      <w:rFonts w:ascii="Batang"/>
      <w:kern w:val="2"/>
      <w:szCs w:val="24"/>
    </w:rPr>
  </w:style>
  <w:style w:type="character" w:styleId="a5">
    <w:name w:val="Hyperlink"/>
    <w:basedOn w:val="a0"/>
    <w:unhideWhenUsed/>
    <w:rsid w:val="00110D6B"/>
    <w:rPr>
      <w:color w:val="0000FF"/>
      <w:u w:val="single"/>
    </w:rPr>
  </w:style>
  <w:style w:type="character" w:styleId="a6">
    <w:name w:val="Strong"/>
    <w:basedOn w:val="a0"/>
    <w:uiPriority w:val="22"/>
    <w:qFormat/>
    <w:rsid w:val="00B9790D"/>
    <w:rPr>
      <w:b/>
      <w:bCs/>
    </w:rPr>
  </w:style>
  <w:style w:type="paragraph" w:styleId="a7">
    <w:name w:val="List Paragraph"/>
    <w:basedOn w:val="a"/>
    <w:uiPriority w:val="34"/>
    <w:qFormat/>
    <w:rsid w:val="00973BA4"/>
    <w:pPr>
      <w:ind w:left="720"/>
      <w:contextualSpacing/>
    </w:pPr>
  </w:style>
  <w:style w:type="paragraph" w:styleId="a8">
    <w:name w:val="Balloon Text"/>
    <w:basedOn w:val="a"/>
    <w:link w:val="Char1"/>
    <w:rsid w:val="008A321E"/>
    <w:rPr>
      <w:rFonts w:ascii="Cambria" w:hAnsi="Cambria"/>
      <w:sz w:val="18"/>
      <w:szCs w:val="18"/>
    </w:rPr>
  </w:style>
  <w:style w:type="character" w:customStyle="1" w:styleId="Char1">
    <w:name w:val="풍선 도움말 텍스트 Char"/>
    <w:basedOn w:val="a0"/>
    <w:link w:val="a8"/>
    <w:rsid w:val="008A321E"/>
    <w:rPr>
      <w:rFonts w:ascii="Cambria" w:eastAsia="Malgun Gothic" w:hAnsi="Cambria" w:cs="Times New Roman"/>
      <w:kern w:val="2"/>
      <w:sz w:val="18"/>
      <w:szCs w:val="18"/>
      <w:lang w:eastAsia="ko-KR"/>
    </w:rPr>
  </w:style>
  <w:style w:type="character" w:styleId="a9">
    <w:name w:val="annotation reference"/>
    <w:uiPriority w:val="99"/>
    <w:rsid w:val="00873466"/>
    <w:rPr>
      <w:sz w:val="18"/>
      <w:szCs w:val="18"/>
    </w:rPr>
  </w:style>
  <w:style w:type="paragraph" w:styleId="aa">
    <w:name w:val="annotation text"/>
    <w:basedOn w:val="a"/>
    <w:link w:val="Char2"/>
    <w:uiPriority w:val="99"/>
    <w:rsid w:val="00873466"/>
    <w:pPr>
      <w:jc w:val="left"/>
    </w:pPr>
    <w:rPr>
      <w:rFonts w:ascii="Malgun Gothic" w:hAnsi="Malgun Gothic"/>
      <w:szCs w:val="22"/>
    </w:rPr>
  </w:style>
  <w:style w:type="character" w:customStyle="1" w:styleId="Char2">
    <w:name w:val="메모 텍스트 Char"/>
    <w:basedOn w:val="a0"/>
    <w:link w:val="aa"/>
    <w:uiPriority w:val="99"/>
    <w:rsid w:val="00873466"/>
    <w:rPr>
      <w:rFonts w:ascii="Malgun Gothic" w:hAnsi="Malgun Gothic"/>
      <w:kern w:val="2"/>
      <w:szCs w:val="22"/>
    </w:rPr>
  </w:style>
  <w:style w:type="character" w:customStyle="1" w:styleId="st1">
    <w:name w:val="st1"/>
    <w:basedOn w:val="a0"/>
    <w:rsid w:val="003F413C"/>
  </w:style>
  <w:style w:type="character" w:customStyle="1" w:styleId="fnte091">
    <w:name w:val="fnt_e091"/>
    <w:basedOn w:val="a0"/>
    <w:rsid w:val="006E06A4"/>
    <w:rPr>
      <w:rFonts w:ascii="Arial" w:hAnsi="Arial" w:cs="Arial" w:hint="default"/>
      <w:b w:val="0"/>
      <w:bCs w:val="0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163">
                  <w:marLeft w:val="0"/>
                  <w:marRight w:val="0"/>
                  <w:marTop w:val="0"/>
                  <w:marBottom w:val="0"/>
                  <w:divBdr>
                    <w:top w:val="single" w:sz="48" w:space="14" w:color="EFEFEF"/>
                    <w:left w:val="single" w:sz="48" w:space="15" w:color="EFEFEF"/>
                    <w:bottom w:val="single" w:sz="48" w:space="16" w:color="EFEFEF"/>
                    <w:right w:val="single" w:sz="48" w:space="15" w:color="EFEFEF"/>
                  </w:divBdr>
                  <w:divsChild>
                    <w:div w:id="11119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smot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22C5-7400-4603-8C08-E46DEACB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Links>
    <vt:vector size="6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http://www.smotor.com/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121509</cp:lastModifiedBy>
  <cp:revision>4</cp:revision>
  <cp:lastPrinted>2013-02-25T08:28:00Z</cp:lastPrinted>
  <dcterms:created xsi:type="dcterms:W3CDTF">2013-02-25T23:21:00Z</dcterms:created>
  <dcterms:modified xsi:type="dcterms:W3CDTF">2013-02-26T00:18:00Z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-593718171</vt:i4>
  </property>
  <property fmtid="{D5CDD505-2E9C-101B-9397-08002B2CF9AE}" pid="3" name="_NewReviewCycle">
    <vt:lpwstr/>
  </property>
  <property fmtid="{D5CDD505-2E9C-101B-9397-08002B2CF9AE}" pid="4" name="_EmailSubject">
    <vt:lpwstr>2012년 및 2013년1분기 경영실적 보도자료 영문</vt:lpwstr>
  </property>
  <property fmtid="{D5CDD505-2E9C-101B-9397-08002B2CF9AE}" pid="5" name="_AuthorEmail">
    <vt:lpwstr>sujin.pak@SMOTOR.COM</vt:lpwstr>
  </property>
  <property fmtid="{D5CDD505-2E9C-101B-9397-08002B2CF9AE}" pid="6" name="_AuthorEmailDisplayName">
    <vt:lpwstr>박수진(Pak, Jeannie Sujin)</vt:lpwstr>
  </property>
</Properties>
</file>